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before="80"/>
        <w:jc w:val="center"/>
      </w:pPr>
      <w:r>
        <w:rPr>
          <w:rFonts w:ascii="Calibri" w:cs="Calibri" w:eastAsia="Calibri" w:hAnsi="Calibri"/>
          <w:b/>
          <w:bCs/>
          <w:color w:val="006B3F"/>
          <w:spacing w:val="60"/>
          <w:sz w:val="32"/>
          <w:szCs w:val="32"/>
        </w:rPr>
        <w:t xml:space="preserve">LA DÉCLARATION DE GENÈVE</w:t>
      </w:r>
    </w:p>
    <w:p>
      <w:pPr>
        <w:spacing w:after="60" w:before="20"/>
        <w:jc w:val="center"/>
      </w:pPr>
      <w:r>
        <w:rPr>
          <w:rFonts w:ascii="Calibri" w:cs="Calibri" w:eastAsia="Calibri" w:hAnsi="Calibri"/>
          <w:i/>
          <w:iCs/>
          <w:color w:val="D4A017"/>
          <w:sz w:val="22"/>
          <w:szCs w:val="22"/>
        </w:rPr>
        <w:t xml:space="preserve">sur la Justice Réparatrice et la Responsabilité Coloniale</w:t>
      </w:r>
    </w:p>
    <w:p>
      <w:pPr>
        <w:spacing w:after="40" w:before="20"/>
        <w:jc w:val="center"/>
      </w:pPr>
      <w:r>
        <w:rPr>
          <w:b/>
          <w:bCs/>
          <w:color w:val="3C3C3C"/>
          <w:spacing w:val="80"/>
          <w:sz w:val="16"/>
          <w:szCs w:val="16"/>
        </w:rPr>
        <w:t xml:space="preserve">(PROJET)</w:t>
      </w:r>
    </w:p>
    <w:p>
      <w:pPr>
        <w:pBdr>
          <w:bottom w:val="double" w:color="D4A017" w:sz="10" w:space="4"/>
        </w:pBdr>
        <w:spacing w:after="60" w:before="40"/>
      </w:pPr>
      <w:r>
        <w:t xml:space="preserve"/>
      </w:r>
    </w:p>
    <w:p>
      <w:pPr>
        <w:spacing w:after="80" w:before="20"/>
        <w:jc w:val="center"/>
      </w:pPr>
      <w:r>
        <w:rPr>
          <w:i/>
          <w:iCs/>
          <w:color w:val="3C3C3C"/>
          <w:sz w:val="16"/>
          <w:szCs w:val="16"/>
        </w:rPr>
        <w:t xml:space="preserve">Adoptée par le Groupe d'Action pour la Justice du PPF-D  ·  </w:t>
      </w:r>
      <w:r>
        <w:rPr>
          <w:b/>
          <w:bCs/>
          <w:color w:val="006B3F"/>
          <w:sz w:val="16"/>
          <w:szCs w:val="16"/>
        </w:rPr>
        <w:t xml:space="preserve">Genève, 28 avril 2026</w:t>
      </w:r>
    </w:p>
    <w:p>
      <w:pPr>
        <w:spacing w:after="60" w:before="60" w:line="300"/>
        <w:ind w:firstLine="280"/>
        <w:jc w:val="both"/>
      </w:pPr>
      <w:r>
        <w:rPr>
          <w:rFonts w:ascii="Calibri" w:cs="Calibri" w:eastAsia="Calibri" w:hAnsi="Calibri"/>
          <w:color w:val="1A1A1A"/>
          <w:sz w:val="20"/>
          <w:szCs w:val="20"/>
        </w:rPr>
        <w:t xml:space="preserve">NOUS, les participants au Forum de Genève sur la Justice Réparatrice et la Responsabilité Coloniale — convoqués par le Front Progressiste Panafricain (PPF), en partenariat avec la Ligue Panafricaine–UMOJA (LP-U) et accueillis par l'Université Populaire Africaine en Suisse (UPAF), réunis à Ghandhi Hall, Maison Internationale des Associations, dans la ville de Genève, en ce vingt-huitième jour du mois d'avril de l'an deux mille vingt-six ;</w:t>
      </w:r>
    </w:p>
    <w:p>
      <w:pPr>
        <w:spacing w:after="80" w:before="80" w:line="300"/>
        <w:ind w:firstLine="280"/>
        <w:jc w:val="both"/>
      </w:pPr>
      <w:r>
        <w:rPr>
          <w:rFonts w:ascii="Calibri" w:cs="Calibri" w:eastAsia="Calibri" w:hAnsi="Calibri"/>
          <w:color w:val="1A1A1A"/>
          <w:sz w:val="20"/>
          <w:szCs w:val="20"/>
        </w:rPr>
        <w:t xml:space="preserve">S'inscrivant dans la continuité des fondations posées par la Déclaration d'Accra du 19 novembre 2025, et dans la lignée de Kwame Nkrumah, George Padmore, Amy Ashwood Garvey, W.E.B. Du Bois, Jomo Kenyatta, Patrice Lumumba, Félix-Roland Moumié, Frantz Fanon, Cheikh Anta Diop, Marcus Garvey et des millions d'inconnus dont la lutte a rendu le présent possible ;</w:t>
      </w:r>
    </w:p>
    <w:p>
      <w:pPr>
        <w:spacing w:after="80" w:before="80" w:line="300"/>
        <w:ind w:firstLine="280"/>
        <w:jc w:val="both"/>
      </w:pPr>
      <w:r>
        <w:rPr>
          <w:rFonts w:ascii="Calibri" w:cs="Calibri" w:eastAsia="Calibri" w:hAnsi="Calibri"/>
          <w:color w:val="1A1A1A"/>
          <w:sz w:val="20"/>
          <w:szCs w:val="20"/>
        </w:rPr>
        <w:t xml:space="preserve">Affirmant la Résolution A/80/L.48 de l'Assemblée générale des Nations Unies du 25 mars 2026, qui déclare la traite des Africains réduits en esclavage comme étant le crime le plus grave contre l'humanité, ainsi que le droit inaliénable de l'Afrique et de sa diaspora à des réparations intégrales pour l'esclavage, le colonialisme, l'apartheid et l'exploitation systémique ;</w:t>
      </w:r>
    </w:p>
    <w:p>
      <w:pPr>
        <w:spacing w:after="80" w:before="80" w:line="300"/>
        <w:ind w:firstLine="280"/>
        <w:jc w:val="both"/>
      </w:pPr>
      <w:r>
        <w:rPr>
          <w:rFonts w:ascii="Calibri" w:cs="Calibri" w:eastAsia="Calibri" w:hAnsi="Calibri"/>
          <w:color w:val="1A1A1A"/>
          <w:sz w:val="20"/>
          <w:szCs w:val="20"/>
        </w:rPr>
        <w:t xml:space="preserve">Reconnaissant que la richesse, les institutions et l'ascendance mondiale des anciennes puissances coloniales ont été bâties sur le travail, les terres, les vies et les cultures des peuples africains, et que l'ordre international actuel continue de reproduire les inégalités issues de cette histoire ;</w:t>
      </w:r>
    </w:p>
    <w:p>
      <w:pPr>
        <w:spacing w:after="80" w:before="80" w:line="300"/>
        <w:ind w:firstLine="280"/>
        <w:jc w:val="both"/>
      </w:pPr>
      <w:r>
        <w:rPr>
          <w:rFonts w:ascii="Calibri" w:cs="Calibri" w:eastAsia="Calibri" w:hAnsi="Calibri"/>
          <w:color w:val="1A1A1A"/>
          <w:sz w:val="20"/>
          <w:szCs w:val="20"/>
        </w:rPr>
        <w:t xml:space="preserve">Déterminés à transformer la reconnaissance historique en action organisée, coordonnée et irréversible — et convoqués à Genève, siège du système international des droits de l'homme, avec une intention délibérée —</w:t>
      </w:r>
    </w:p>
    <w:p>
      <w:pPr>
        <w:spacing w:after="80" w:before="100"/>
        <w:jc w:val="center"/>
      </w:pPr>
      <w:r>
        <w:rPr>
          <w:b/>
          <w:bCs/>
          <w:color w:val="006B3F"/>
          <w:spacing w:val="80"/>
          <w:sz w:val="18"/>
          <w:szCs w:val="18"/>
        </w:rPr>
        <w:t xml:space="preserve">PROCLAMONS ET ADOPTONS PAR LA PRÉSENTE LES SEPT ENGAGEMENTS SUIVANTS :</w:t>
      </w:r>
    </w:p>
    <w:p>
      <w:pPr>
        <w:pBdr>
          <w:bottom w:val="single" w:color="D4A017" w:sz="6" w:space="4"/>
        </w:pBdr>
        <w:spacing w:after="80" w:before="20"/>
      </w:pPr>
      <w:r>
        <w:t xml:space="preserve"/>
      </w:r>
    </w:p>
    <w:p>
      <w:pPr>
        <w:spacing w:after="80" w:before="80" w:line="290"/>
        <w:ind w:left="460" w:hanging="460"/>
      </w:pPr>
      <w:r>
        <w:rPr>
          <w:rFonts w:ascii="Calibri" w:cs="Calibri" w:eastAsia="Calibri" w:hAnsi="Calibri"/>
          <w:b/>
          <w:bCs/>
          <w:color w:val="D4A017"/>
          <w:sz w:val="20"/>
          <w:szCs w:val="20"/>
        </w:rPr>
        <w:t xml:space="preserve">1.  </w:t>
      </w:r>
      <w:r>
        <w:rPr>
          <w:rFonts w:ascii="Calibri" w:cs="Calibri" w:eastAsia="Calibri" w:hAnsi="Calibri"/>
          <w:b/>
          <w:bCs/>
          <w:color w:val="006B3F"/>
          <w:sz w:val="20"/>
          <w:szCs w:val="20"/>
        </w:rPr>
        <w:t xml:space="preserve">La Justice Réparatrice comme Droit Inaliénable — </w:t>
      </w:r>
      <w:r>
        <w:rPr>
          <w:rFonts w:ascii="Calibri" w:cs="Calibri" w:eastAsia="Calibri" w:hAnsi="Calibri"/>
          <w:color w:val="1A1A1A"/>
          <w:sz w:val="20"/>
          <w:szCs w:val="20"/>
        </w:rPr>
        <w:t xml:space="preserve">Nous affirmons le droit inaliénable des Africains et des personnes d'ascendance africaine à des réparations intégrales — comprenant des excuses formelles, l'annulation de la dette, la restitution du patrimoine culturel et des restes ancestraux, l'accès sans restriction aux archives coloniales, et la réparation matérielle proportionnée au préjudice subi. Les déclarations de regret sont insuffisantes ; ce qui est dû, c'est la réparation.</w:t>
      </w:r>
    </w:p>
    <w:p>
      <w:pPr>
        <w:spacing w:after="80" w:before="80" w:line="290"/>
        <w:ind w:left="460" w:hanging="460"/>
      </w:pPr>
      <w:r>
        <w:rPr>
          <w:rFonts w:ascii="Calibri" w:cs="Calibri" w:eastAsia="Calibri" w:hAnsi="Calibri"/>
          <w:b/>
          <w:bCs/>
          <w:color w:val="D4A017"/>
          <w:sz w:val="20"/>
          <w:szCs w:val="20"/>
        </w:rPr>
        <w:t xml:space="preserve">2.  </w:t>
      </w:r>
      <w:r>
        <w:rPr>
          <w:rFonts w:ascii="Calibri" w:cs="Calibri" w:eastAsia="Calibri" w:hAnsi="Calibri"/>
          <w:b/>
          <w:bCs/>
          <w:color w:val="006B3F"/>
          <w:sz w:val="20"/>
          <w:szCs w:val="20"/>
        </w:rPr>
        <w:t xml:space="preserve">La Souveraineté Africaine comme Terreau de la Réparation — </w:t>
      </w:r>
      <w:r>
        <w:rPr>
          <w:rFonts w:ascii="Calibri" w:cs="Calibri" w:eastAsia="Calibri" w:hAnsi="Calibri"/>
          <w:color w:val="1A1A1A"/>
          <w:sz w:val="20"/>
          <w:szCs w:val="20"/>
        </w:rPr>
        <w:t xml:space="preserve">Nous déclarons qu'aucun règlement de la question des réparations n'est légitime s'il n'a pas été négocié avec la participation effective des peuples concernés. Les ressources naturelles, les systèmes monétaires et le destin économique de l'Afrique appartiennent à ses peuples — et la réforme du franc CFA, l'annulation des dettes illégitimes, la fermeture des juridictions opaques et la renégociation des accords commerciaux extractifs font partie intégrante de l'agenda réparateur.</w:t>
      </w:r>
    </w:p>
    <w:p>
      <w:pPr>
        <w:spacing w:after="80" w:before="80" w:line="290"/>
        <w:ind w:left="460" w:hanging="460"/>
      </w:pPr>
      <w:r>
        <w:rPr>
          <w:rFonts w:ascii="Calibri" w:cs="Calibri" w:eastAsia="Calibri" w:hAnsi="Calibri"/>
          <w:b/>
          <w:bCs/>
          <w:color w:val="D4A017"/>
          <w:sz w:val="20"/>
          <w:szCs w:val="20"/>
        </w:rPr>
        <w:t xml:space="preserve">3.  </w:t>
      </w:r>
      <w:r>
        <w:rPr>
          <w:rFonts w:ascii="Calibri" w:cs="Calibri" w:eastAsia="Calibri" w:hAnsi="Calibri"/>
          <w:b/>
          <w:bCs/>
          <w:color w:val="006B3F"/>
          <w:sz w:val="20"/>
          <w:szCs w:val="20"/>
        </w:rPr>
        <w:t xml:space="preserve">Lancement du Groupe d'Action pour la Justice du PPF-D — </w:t>
      </w:r>
      <w:r>
        <w:rPr>
          <w:rFonts w:ascii="Calibri" w:cs="Calibri" w:eastAsia="Calibri" w:hAnsi="Calibri"/>
          <w:color w:val="1A1A1A"/>
          <w:sz w:val="20"/>
          <w:szCs w:val="20"/>
        </w:rPr>
        <w:t xml:space="preserve">Nous constituons par la présente, de manière officielle, le Groupe d'Action pour la Justice du PPF-D comme l'organe permanent de coordination du mouvement panafricain pour la justice réparatrice, avec des groupes de travail dédiés à la stratégie juridique, à la justice économique, à la restitution culturelle, à l'éducation, au leadership des femmes, aux autorités traditionnelles, aux étudiants, aux médias, à l'engagement de la diaspora et à la recherche.</w:t>
      </w:r>
    </w:p>
    <w:p>
      <w:pPr>
        <w:spacing w:after="80" w:before="80" w:line="290"/>
        <w:ind w:left="460" w:hanging="460"/>
      </w:pPr>
      <w:r>
        <w:rPr>
          <w:rFonts w:ascii="Calibri" w:cs="Calibri" w:eastAsia="Calibri" w:hAnsi="Calibri"/>
          <w:b/>
          <w:bCs/>
          <w:color w:val="D4A017"/>
          <w:sz w:val="20"/>
          <w:szCs w:val="20"/>
        </w:rPr>
        <w:t xml:space="preserve">4.  </w:t>
      </w:r>
      <w:r>
        <w:rPr>
          <w:rFonts w:ascii="Calibri" w:cs="Calibri" w:eastAsia="Calibri" w:hAnsi="Calibri"/>
          <w:b/>
          <w:bCs/>
          <w:color w:val="006B3F"/>
          <w:sz w:val="20"/>
          <w:szCs w:val="20"/>
        </w:rPr>
        <w:t xml:space="preserve">Une Architecture Juridique Unifiée — </w:t>
      </w:r>
      <w:r>
        <w:rPr>
          <w:rFonts w:ascii="Calibri" w:cs="Calibri" w:eastAsia="Calibri" w:hAnsi="Calibri"/>
          <w:color w:val="1A1A1A"/>
          <w:sz w:val="20"/>
          <w:szCs w:val="20"/>
        </w:rPr>
        <w:t xml:space="preserve">Nous mandatons la mise en place d'une architecture juridique panafricaine unifiée pour les réparations — s'appuyant sur les précédents du règlement Mau Mau de 2013, de la reconnaissance par l'Allemagne du génocide des Herero et des Nama, du Plan en dix points de la CARICOM, et du cadre Sarr-Savoy — afin de documenter le préjudice, d'évaluer les dommages, et d'engager des recours devant chaque instance nationale, régionale et internationale disponible.</w:t>
      </w:r>
    </w:p>
    <w:p>
      <w:pPr>
        <w:spacing w:after="80" w:before="80" w:line="290"/>
        <w:ind w:left="460" w:hanging="460"/>
      </w:pPr>
      <w:r>
        <w:rPr>
          <w:rFonts w:ascii="Calibri" w:cs="Calibri" w:eastAsia="Calibri" w:hAnsi="Calibri"/>
          <w:b/>
          <w:bCs/>
          <w:color w:val="D4A017"/>
          <w:sz w:val="20"/>
          <w:szCs w:val="20"/>
        </w:rPr>
        <w:t xml:space="preserve">5.  </w:t>
      </w:r>
      <w:r>
        <w:rPr>
          <w:rFonts w:ascii="Calibri" w:cs="Calibri" w:eastAsia="Calibri" w:hAnsi="Calibri"/>
          <w:b/>
          <w:bCs/>
          <w:color w:val="006B3F"/>
          <w:sz w:val="20"/>
          <w:szCs w:val="20"/>
        </w:rPr>
        <w:t xml:space="preserve">Un Programme d'Action de Douze Mois — </w:t>
      </w:r>
      <w:r>
        <w:rPr>
          <w:rFonts w:ascii="Calibri" w:cs="Calibri" w:eastAsia="Calibri" w:hAnsi="Calibri"/>
          <w:color w:val="1A1A1A"/>
          <w:sz w:val="20"/>
          <w:szCs w:val="20"/>
        </w:rPr>
        <w:t xml:space="preserve">Nous adoptons le Calendrier de Plaidoyer Post-Conférence (juin 2026 – mai 2027) comme programme structuré par lequel la présente Déclaration sera portée à travers le monde : ouvrant par un mois coordonné de plaidoyer européen, traversant les chefs traditionnels, les étudiants, la justice économique, le leadership des femmes et la solidarité continentale, et culminant en une convergence mondiale dans un an.</w:t>
      </w:r>
    </w:p>
    <w:p>
      <w:pPr>
        <w:spacing w:after="80" w:before="80" w:line="290"/>
        <w:ind w:left="460" w:hanging="460"/>
      </w:pPr>
      <w:r>
        <w:rPr>
          <w:rFonts w:ascii="Calibri" w:cs="Calibri" w:eastAsia="Calibri" w:hAnsi="Calibri"/>
          <w:b/>
          <w:bCs/>
          <w:color w:val="D4A017"/>
          <w:sz w:val="20"/>
          <w:szCs w:val="20"/>
        </w:rPr>
        <w:t xml:space="preserve">6.  </w:t>
      </w:r>
      <w:r>
        <w:rPr>
          <w:rFonts w:ascii="Calibri" w:cs="Calibri" w:eastAsia="Calibri" w:hAnsi="Calibri"/>
          <w:b/>
          <w:bCs/>
          <w:color w:val="006B3F"/>
          <w:sz w:val="20"/>
          <w:szCs w:val="20"/>
        </w:rPr>
        <w:t xml:space="preserve">Solidarité du Continent et de la Diaspora — </w:t>
      </w:r>
      <w:r>
        <w:rPr>
          <w:rFonts w:ascii="Calibri" w:cs="Calibri" w:eastAsia="Calibri" w:hAnsi="Calibri"/>
          <w:color w:val="1A1A1A"/>
          <w:sz w:val="20"/>
          <w:szCs w:val="20"/>
        </w:rPr>
        <w:t xml:space="preserve">Nous déclarons que le continent africain et la diaspora africaine forment une seule et même communauté historique, politique et morale. Nous étendons notre solidarité aux peuples autochtones des Amériques, aux peuples aborigènes d'Australie et du Pacifique, aux communautés roms d'Europe, aux peuples Dalits et Adivasis d'Asie du Sud, au peuple palestinien, et à tous ceux dont la lutte contre la violence coloniale fait partie d'une cause indivisible.</w:t>
      </w:r>
    </w:p>
    <w:p>
      <w:pPr>
        <w:spacing w:after="80" w:before="80" w:line="290"/>
        <w:ind w:left="460" w:hanging="460"/>
      </w:pPr>
      <w:r>
        <w:rPr>
          <w:rFonts w:ascii="Calibri" w:cs="Calibri" w:eastAsia="Calibri" w:hAnsi="Calibri"/>
          <w:b/>
          <w:bCs/>
          <w:color w:val="D4A017"/>
          <w:sz w:val="20"/>
          <w:szCs w:val="20"/>
        </w:rPr>
        <w:t xml:space="preserve">7.  </w:t>
      </w:r>
      <w:r>
        <w:rPr>
          <w:rFonts w:ascii="Calibri" w:cs="Calibri" w:eastAsia="Calibri" w:hAnsi="Calibri"/>
          <w:b/>
          <w:bCs/>
          <w:color w:val="006B3F"/>
          <w:sz w:val="20"/>
          <w:szCs w:val="20"/>
        </w:rPr>
        <w:t xml:space="preserve">Une Invitation au Monde — </w:t>
      </w:r>
      <w:r>
        <w:rPr>
          <w:rFonts w:ascii="Calibri" w:cs="Calibri" w:eastAsia="Calibri" w:hAnsi="Calibri"/>
          <w:color w:val="1A1A1A"/>
          <w:sz w:val="20"/>
          <w:szCs w:val="20"/>
        </w:rPr>
        <w:t xml:space="preserve">Nous tendons la main aux gouvernements et aux peuples des anciennes puissances coloniales, aux universités, musées, banques, compagnies d'assurance et communautés religieuses enrichis par la richesse coloniale, ainsi qu'à tous les peuples de bonne volonté : la justice réparatrice n'est pas une revendication contre un peuple en particulier, c'est une invitation aux anciens pays coloniaux et au monde entier à se tenir du bon côté de l'histoire. L'engagement est un investissement dans la crédibilité, et une voie vers la réparation.</w:t>
      </w:r>
    </w:p>
    <w:p>
      <w:pPr>
        <w:pBdr>
          <w:bottom w:val="single" w:color="D4A017" w:sz="6" w:space="4"/>
        </w:pBdr>
        <w:spacing w:after="80" w:before="100"/>
      </w:pPr>
      <w:r>
        <w:t xml:space="preserve"/>
      </w:r>
    </w:p>
    <w:p>
      <w:pPr>
        <w:spacing w:after="60" w:before="60" w:line="300"/>
        <w:ind w:firstLine="280"/>
        <w:jc w:val="both"/>
      </w:pPr>
      <w:r>
        <w:rPr>
          <w:rFonts w:ascii="Calibri" w:cs="Calibri" w:eastAsia="Calibri" w:hAnsi="Calibri"/>
          <w:color w:val="1A1A1A"/>
          <w:sz w:val="18"/>
          <w:szCs w:val="18"/>
        </w:rPr>
        <w:t xml:space="preserve">La présente Déclaration sera transmise à l'Organisation des Nations Unies, à l'Union africaine, à la Communauté caribéenne, au Parlement européen, au Conseil de l'Europe, au Commonwealth, à l'Organisation Internationale de la Francophonie, à la Communauté des Pays de Langue Portugaise, aux Chefs d'État de toutes les anciennes puissances coloniales, ainsi qu'à tout gouvernement, parlement et peuple de bonne volonté à travers le monde. Elle sera mise à disposition en anglais, français, portugais, espagnol, arabe, kiswahili, et dans d'autres langues africaines et de la diaspora.</w:t>
      </w:r>
    </w:p>
    <w:p>
      <w:pPr>
        <w:spacing w:after="60" w:before="60" w:line="300"/>
        <w:ind w:firstLine="280"/>
        <w:jc w:val="both"/>
      </w:pPr>
      <w:r>
        <w:rPr>
          <w:rFonts w:ascii="Calibri" w:cs="Calibri" w:eastAsia="Calibri" w:hAnsi="Calibri"/>
          <w:i/>
          <w:iCs/>
          <w:color w:val="1A1A1A"/>
          <w:sz w:val="20"/>
          <w:szCs w:val="20"/>
        </w:rPr>
        <w:t xml:space="preserve">De Manchester 1945 à Accra 2025, jusqu'à Genève 2026 : le travail continue. De la mémoire historique à la justice économique et politique. De la résistance à l'organisation. De la déclaration à la mise en œuvre.</w:t>
      </w:r>
    </w:p>
    <w:p>
      <w:pPr>
        <w:spacing w:after="40" w:before="120"/>
        <w:jc w:val="center"/>
      </w:pPr>
      <w:r>
        <w:rPr>
          <w:b/>
          <w:bCs/>
          <w:color w:val="006B3F"/>
          <w:sz w:val="18"/>
          <w:szCs w:val="18"/>
        </w:rPr>
        <w:t xml:space="preserve">Adoptée par acclamation à Ghandhi Hall, Genève, le 28 avril 2026.</w:t>
      </w:r>
    </w:p>
    <w:p>
      <w:pPr>
        <w:spacing w:after="40" w:before="80"/>
        <w:jc w:val="center"/>
      </w:pPr>
      <w:r>
        <w:rPr>
          <w:color w:val="D4A017"/>
          <w:sz w:val="22"/>
          <w:szCs w:val="22"/>
        </w:rPr>
        <w:t xml:space="preserve">✦  ✦  ✦</w:t>
      </w:r>
    </w:p>
    <w:p>
      <w:pPr>
        <w:spacing w:after="20" w:before="40"/>
        <w:jc w:val="center"/>
      </w:pPr>
      <w:r>
        <w:rPr>
          <w:b/>
          <w:bCs/>
          <w:color w:val="006B3F"/>
          <w:spacing w:val="60"/>
          <w:sz w:val="16"/>
          <w:szCs w:val="16"/>
        </w:rPr>
        <w:t xml:space="preserve">Front Progressiste Panafricain  ·  Ligue Panafricaine–UMOJA  ·  UPAF</w:t>
      </w:r>
    </w:p>
    <w:p>
      <w:pPr>
        <w:spacing w:after="60" w:before="0"/>
        <w:jc w:val="center"/>
      </w:pPr>
      <w:r>
        <w:rPr>
          <w:i/>
          <w:iCs/>
          <w:color w:val="D4A017"/>
          <w:sz w:val="14"/>
          <w:szCs w:val="14"/>
        </w:rPr>
        <w:t xml:space="preserve">Mobiliser les Peuples  ·  Émanciper les Esprits</w:t>
      </w:r>
    </w:p>
    <w:sectPr>
      <w:headerReference w:type="default" r:id="rId7"/>
      <w:footerReference w:type="default" r:id="rId8"/>
      <w:pgSz w:w="11906" w:h="16838" w:orient="portrait"/>
      <w:pgMar w:top="900" w:right="1000" w:bottom="900" w:left="10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006B3F" w:sz="8" w:space="4"/>
      </w:pBdr>
      <w:spacing w:after="40" w:before="40"/>
    </w:pPr>
    <w:r>
      <w:t xml:space="preserve"/>
    </w:r>
  </w:p>
  <w:p>
    <w:pPr>
      <w:jc w:val="center"/>
    </w:pPr>
    <w:r>
      <w:rPr>
        <w:i/>
        <w:iCs/>
        <w:color w:val="3C3C3C"/>
        <w:sz w:val="14"/>
        <w:szCs w:val="14"/>
      </w:rPr>
      <w:t xml:space="preserve">La Déclaration de Genève sur la Justice Réparatrice et la Responsabilité Coloniale  ·  Adoptée le 28 avril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900"/>
      <w:gridCol w:w="8738"/>
    </w:tblGrid>
    <w:tr>
      <w:tc>
        <w:tcPr>
          <w:tcW w:type="dxa" w:w="900"/>
          <w:tcBorders>
            <w:top w:val="none" w:color="FFFFFF" w:sz="0"/>
            <w:left w:val="none" w:color="FFFFFF" w:sz="0"/>
            <w:bottom w:val="none" w:color="FFFFFF" w:sz="0"/>
            <w:right w:val="none" w:color="FFFFFF" w:sz="0"/>
          </w:tcBorders>
          <w:tcMar>
            <w:top w:type="dxa" w:w="0"/>
            <w:left w:type="dxa" w:w="0"/>
            <w:bottom w:type="dxa" w:w="0"/>
            <w:right w:type="dxa" w:w="80"/>
          </w:tcMar>
          <w:vAlign w:val="center"/>
        </w:tcPr>
        <w:p>
          <w:pPr>
            <w:jc w:val="left"/>
          </w:pPr>
          <w:r>
            <w:drawing>
              <wp:inline distT="0" distB="0" distL="0" distR="0">
                <wp:extent cx="400050" cy="400050"/>
                <wp:effectExtent t="0" r="0" b="0" l="0"/>
                <wp:docPr id="1" name="PPF" descr="PPF Logo" title="P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0" cstate="none"/>
                        <a:srcRect/>
                        <a:stretch>
                          <a:fillRect/>
                        </a:stretch>
                      </pic:blipFill>
                      <pic:spPr bwMode="auto">
                        <a:xfrm>
                          <a:off x="0" y="0"/>
                          <a:ext cx="400050" cy="400050"/>
                        </a:xfrm>
                        <a:prstGeom prst="rect">
                          <a:avLst/>
                        </a:prstGeom>
                      </pic:spPr>
                    </pic:pic>
                  </a:graphicData>
                </a:graphic>
              </wp:inline>
            </w:drawing>
          </w:r>
        </w:p>
      </w:tc>
      <w:tc>
        <w:tcPr>
          <w:tcW w:type="dxa" w:w="8738"/>
          <w:tcBorders>
            <w:top w:val="none" w:color="FFFFFF" w:sz="0"/>
            <w:left w:val="none" w:color="FFFFFF" w:sz="0"/>
            <w:bottom w:val="none" w:color="FFFFFF" w:sz="0"/>
            <w:right w:val="none" w:color="FFFFFF" w:sz="0"/>
          </w:tcBorders>
          <w:tcMar>
            <w:top w:type="dxa" w:w="0"/>
            <w:left w:type="dxa" w:w="0"/>
            <w:bottom w:type="dxa" w:w="0"/>
            <w:right w:type="dxa" w:w="0"/>
          </w:tcMar>
          <w:vAlign w:val="center"/>
        </w:tcPr>
        <w:p>
          <w:pPr>
            <w:spacing w:after="0" w:before="0"/>
            <w:jc w:val="left"/>
          </w:pPr>
          <w:r>
            <w:rPr>
              <w:rFonts w:ascii="Calibri" w:cs="Calibri" w:eastAsia="Calibri" w:hAnsi="Calibri"/>
              <w:b/>
              <w:bCs/>
              <w:color w:val="006B3F"/>
              <w:spacing w:val="40"/>
              <w:sz w:val="18"/>
              <w:szCs w:val="18"/>
            </w:rPr>
            <w:t xml:space="preserve">FRONT PROGRESSISTE PANAFRICAIN</w:t>
          </w:r>
        </w:p>
        <w:p>
          <w:pPr>
            <w:spacing w:after="0" w:before="0"/>
            <w:jc w:val="left"/>
          </w:pPr>
          <w:r>
            <w:rPr>
              <w:rFonts w:ascii="Calibri" w:cs="Calibri" w:eastAsia="Calibri" w:hAnsi="Calibri"/>
              <w:i/>
              <w:iCs/>
              <w:color w:val="D4A017"/>
              <w:sz w:val="13"/>
              <w:szCs w:val="13"/>
            </w:rPr>
            <w:t xml:space="preserve">Mobiliser les Peuples, Émanciper les Esprits</w:t>
          </w:r>
        </w:p>
      </w:tc>
    </w:tr>
  </w:tbl>
  <w:p>
    <w:pPr>
      <w:pBdr>
        <w:bottom w:val="single" w:color="D4A017" w:sz="14" w:space="2"/>
      </w:pBdr>
      <w:spacing w:after="30" w:before="30"/>
    </w:pPr>
    <w: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20" w:hanging="260"/>
      </w:pPr>
      <w:rPr>
        <w:color w:val="D4A017"/>
      </w:rPr>
    </w:lvl>
    <w:lvl w:ilvl="1" w15:tentative="1">
      <w:start w:val="1"/>
      <w:numFmt w:val="bullet"/>
      <w:lvlText w:val="○"/>
      <w:lvlJc w:val="left"/>
      <w:pPr>
        <w:ind w:left="1040" w:hanging="260"/>
      </w:pPr>
    </w:lvl>
  </w:abstractNum>
  <w:abstractNum w:abstractNumId="3" w15:restartNumberingAfterBreak="0">
    <w:multiLevelType w:val="hybridMultilevel"/>
    <w:lvl w:ilvl="0" w15:tentative="1">
      <w:start w:val="1"/>
      <w:numFmt w:val="decimal"/>
      <w:lvlText w:val="%1."/>
      <w:lvlJc w:val="left"/>
      <w:pPr>
        <w:ind w:left="520" w:hanging="260"/>
      </w:pPr>
      <w:rPr>
        <w:b/>
        <w:bCs/>
        <w:color w:val="006B3F"/>
      </w:r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Calibri" w:cs="Calibri" w:eastAsia="Calibri" w:hAnsi="Calibri"/>
      <w:b/>
      <w:bCs/>
      <w:color w:val="006B3F"/>
      <w:sz w:val="36"/>
      <w:szCs w:val="36"/>
    </w:rPr>
  </w:style>
  <w:style w:type="paragraph" w:styleId="Heading2">
    <w:name w:val="Heading 2"/>
    <w:basedOn w:val="Normal"/>
    <w:next w:val="Normal"/>
    <w:qFormat/>
    <w:pPr>
      <w:spacing w:after="140" w:before="280"/>
      <w:outlineLvl w:val="1"/>
    </w:pPr>
    <w:rPr>
      <w:rFonts w:ascii="Calibri" w:cs="Calibri" w:eastAsia="Calibri" w:hAnsi="Calibri"/>
      <w:b/>
      <w:bCs/>
      <w:color w:val="006B3F"/>
      <w:sz w:val="28"/>
      <w:szCs w:val="28"/>
    </w:rPr>
  </w:style>
  <w:style w:type="paragraph" w:styleId="Heading3">
    <w:name w:val="Heading 3"/>
    <w:basedOn w:val="Normal"/>
    <w:next w:val="Normal"/>
    <w:qFormat/>
    <w:pPr>
      <w:spacing w:after="120" w:before="220"/>
      <w:outlineLvl w:val="2"/>
    </w:pPr>
    <w:rPr>
      <w:rFonts w:ascii="Calibri" w:cs="Calibri" w:eastAsia="Calibri" w:hAnsi="Calibri"/>
      <w:b/>
      <w:bCs/>
      <w:color w:val="1F8B4C"/>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Relationship Id="rId0" Type="http://schemas.openxmlformats.org/officeDocument/2006/relationships/image" Target="media/6deb2aa12ffe57a48cd6e5c62ead8a509cf90273.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2026-04-28T01:19:50.507Z</dcterms:created>
  <dcterms:modified xsi:type="dcterms:W3CDTF">2026-04-28T01:19:50.508Z</dcterms:modified>
</cp:coreProperties>
</file>

<file path=docProps/custom.xml><?xml version="1.0" encoding="utf-8"?>
<Properties xmlns="http://schemas.openxmlformats.org/officeDocument/2006/custom-properties" xmlns:vt="http://schemas.openxmlformats.org/officeDocument/2006/docPropsVTypes"/>
</file>